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2550" w:firstLine="0"/>
        <w:spacing w:after="255" w:before="0"/>
        <w:shd w:val="clear" w:fill="FFFFFF" w:color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Система QR-кодов вводится в Алтайском крае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 применить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QR-код</w:t>
      </w:r>
      <w:r>
        <w:rPr>
          <w:b/>
        </w:rPr>
      </w:r>
      <w:r/>
    </w:p>
    <w:p>
      <w:pPr>
        <w:ind w:left="0" w:right="2550" w:firstLine="0"/>
        <w:spacing w:after="255" w:before="0"/>
        <w:shd w:val="clear" w:fill="FFFFFF" w:color="FFFFFF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2550" w:firstLine="0"/>
        <w:spacing w:after="255" w:before="0"/>
        <w:shd w:val="clear" w:fill="FFFFFF" w:color="FFFFFF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71276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371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292.3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both"/>
        <w:spacing w:after="0" w:afterAutospacing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27 октября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Губернатор </w:t>
      </w:r>
      <w:hyperlink r:id="rId9" w:tooltip="https://www.altairegion22.ru/gov/administration/gubernator-tomenko/" w:history="1">
        <w:r>
          <w:rPr>
            <w:rStyle w:val="605"/>
            <w:rFonts w:ascii="Times New Roman" w:hAnsi="Times New Roman" w:cs="Times New Roman" w:eastAsia="Times New Roman"/>
            <w:color w:val="007CB1"/>
            <w:sz w:val="28"/>
            <w:u w:val="single"/>
          </w:rPr>
          <w:t xml:space="preserve">Виктор Томенко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 подписал </w:t>
      </w:r>
      <w:hyperlink r:id="rId10" w:tooltip="https://altairegion22.ru/upload/iblock/5e1/-180-_ug_27.10.2021.pdf" w:history="1">
        <w:r>
          <w:rPr>
            <w:rStyle w:val="605"/>
            <w:rFonts w:ascii="Times New Roman" w:hAnsi="Times New Roman" w:cs="Times New Roman" w:eastAsia="Times New Roman"/>
            <w:color w:val="007CB1"/>
            <w:sz w:val="28"/>
            <w:u w:val="single"/>
          </w:rPr>
          <w:t xml:space="preserve">изменения в указ №44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, предусматривающие новые ограничительные мероприятия на территории Алтайского края.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afterAutospacing="0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after="0" w:afterAutospacing="0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 30 октября допуск в торговые и торгово-развлекательные центры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будет осуществляться, в том числе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при предъявлении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гражданами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документа, удостоверяющего личность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а также: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afterAutospacing="0" w:before="0"/>
        <w:shd w:val="clear" w:fill="FFFFFF" w:color="FFFFFF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действующего QR-кода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которым подтверждается получение гражданами второго компонента вакцины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или однокомпонентной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вакцины, или 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сертификата профилактической прививки от новой коронавирусной инфекции COVID-19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 на бумажном носителе.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left="0" w:right="0" w:firstLine="0"/>
        <w:jc w:val="both"/>
        <w:spacing w:after="0" w:afterAutospacing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- действующего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QR-кода,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которым подтверждается то, что граждане перенесли новую коронавирусную инфекцию COVID-19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и с даты их выздоровления прошло не более шести календарных месяцев.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afterAutospacing="0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after="0" w:afterAutospacing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С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15 ноября  обозначенные выше будут применены для входа в театры, кинотеатры, концертные залы, учреждения клубного типа, цирки, бассейны, фитнес-клубы, спортивные объекты, учреждения досуга, гостиницы, пансионаты, дома и базы отдыха, санаторн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о-курортные организации (санатории), санаторно-оздоровительные детские лагеря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кругл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огодичного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действия, а также на объекты общественного питания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за исключением обслуживания навынос без посещения зала обслуживания, деятельности столовых, буфетов, кафе и иных предприятий, осуществляющих организацию питания для работников предприятия).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i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i w:val="false"/>
          <w:sz w:val="28"/>
          <w:highlight w:val="none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i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Обращаем внимание, что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QR-код 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 доступен пользователям  </w:t>
      </w:r>
      <w:hyperlink r:id="rId11" w:tooltip="https://www.gosuslugi.ru/" w:history="1">
        <w:r>
          <w:rPr>
            <w:rStyle w:val="605"/>
            <w:rFonts w:ascii="Times New Roman" w:hAnsi="Times New Roman" w:cs="Times New Roman" w:eastAsia="Times New Roman"/>
            <w:i w:val="false"/>
            <w:sz w:val="28"/>
            <w:highlight w:val="none"/>
          </w:rPr>
          <w:t xml:space="preserve">портала Госуслуг</w:t>
        </w:r>
      </w:hyperlink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:</w:t>
      </w:r>
      <w:r>
        <w:rPr>
          <w:sz w:val="28"/>
        </w:rPr>
      </w:r>
      <w:r/>
    </w:p>
    <w:p>
      <w:pPr>
        <w:jc w:val="both"/>
        <w:spacing w:lineRule="auto" w:line="240" w:after="0" w:afterAutospacing="0"/>
        <w:rPr>
          <w:sz w:val="28"/>
        </w:rPr>
      </w:pPr>
      <w:r>
        <w:rPr>
          <w:rFonts w:ascii="Times New Roman" w:hAnsi="Times New Roman" w:cs="Times New Roman" w:eastAsia="Times New Roman"/>
          <w:b/>
          <w:i w:val="false"/>
          <w:sz w:val="28"/>
          <w:highlight w:val="none"/>
        </w:rPr>
        <w:t xml:space="preserve">в личном кабинете гражданина 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на портале Госуслуг, 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в случае установки на смартфон</w:t>
      </w:r>
      <w:hyperlink r:id="rId12" w:tooltip="https://play.google.com/store/apps/details?id=ru.rostel&amp;hl=ru&amp;gl=US" w:history="1">
        <w:r>
          <w:rPr>
            <w:rStyle w:val="605"/>
            <w:rFonts w:ascii="Times New Roman" w:hAnsi="Times New Roman" w:cs="Times New Roman" w:eastAsia="Times New Roman"/>
            <w:i w:val="false"/>
            <w:sz w:val="28"/>
            <w:highlight w:val="none"/>
          </w:rPr>
          <w:t xml:space="preserve"> п</w:t>
        </w:r>
        <w:r>
          <w:rPr>
            <w:rStyle w:val="605"/>
            <w:rFonts w:ascii="Times New Roman" w:hAnsi="Times New Roman" w:cs="Times New Roman" w:eastAsia="Times New Roman"/>
            <w:b/>
            <w:i w:val="false"/>
            <w:sz w:val="28"/>
            <w:highlight w:val="none"/>
          </w:rPr>
          <w:t xml:space="preserve">риложений «Госуслуги»</w:t>
        </w:r>
        <w:r>
          <w:rPr>
            <w:rStyle w:val="605"/>
            <w:rFonts w:ascii="Times New Roman" w:hAnsi="Times New Roman" w:cs="Times New Roman" w:eastAsia="Times New Roman"/>
            <w:i w:val="false"/>
            <w:sz w:val="28"/>
            <w:highlight w:val="none"/>
          </w:rPr>
          <w:t xml:space="preserve"> </w:t>
        </w:r>
        <w:r>
          <w:rPr>
            <w:rStyle w:val="605"/>
            <w:rFonts w:ascii="Times New Roman" w:hAnsi="Times New Roman" w:cs="Times New Roman" w:eastAsia="Times New Roman"/>
            <w:i w:val="false"/>
            <w:sz w:val="28"/>
            <w:highlight w:val="none"/>
          </w:rPr>
        </w:r>
      </w:hyperlink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или </w:t>
      </w:r>
      <w:r>
        <w:rPr>
          <w:rFonts w:ascii="Times New Roman" w:hAnsi="Times New Roman" w:cs="Times New Roman" w:eastAsia="Times New Roman"/>
          <w:b/>
          <w:i w:val="false"/>
          <w:sz w:val="28"/>
          <w:highlight w:val="none"/>
        </w:rPr>
      </w:r>
      <w:hyperlink r:id="rId13" w:tooltip="https://play.google.com/store/apps/details?id=com.minsvyaz.gosuslugi.stopcorona&amp;hl=ru&amp;gl=US" w:history="1">
        <w:r>
          <w:rPr>
            <w:rStyle w:val="605"/>
            <w:rFonts w:ascii="Times New Roman" w:hAnsi="Times New Roman" w:cs="Times New Roman" w:eastAsia="Times New Roman"/>
            <w:b/>
            <w:i w:val="false"/>
            <w:sz w:val="28"/>
            <w:highlight w:val="none"/>
          </w:rPr>
          <w:t xml:space="preserve">«Госуслуги СТОП Коронавирус»</w:t>
        </w:r>
      </w:hyperlink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.</w:t>
      </w:r>
      <w:r>
        <w:rPr>
          <w:sz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i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i w:val="false"/>
          <w:sz w:val="28"/>
          <w:highlight w:val="none"/>
        </w:rPr>
      </w:r>
      <w:r/>
    </w:p>
    <w:p>
      <w:pPr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Сертификат с QR-кодом о вакцинации</w:t>
      </w:r>
      <w:r>
        <w:rPr>
          <w:rFonts w:ascii="Times New Roman" w:hAnsi="Times New Roman" w:cs="Times New Roman" w:eastAsia="Times New Roman"/>
          <w:b/>
          <w:i w:val="false"/>
          <w:sz w:val="28"/>
          <w:highlight w:val="none"/>
        </w:rPr>
        <w:t xml:space="preserve"> появляется после </w:t>
      </w:r>
      <w:r>
        <w:rPr>
          <w:rFonts w:ascii="Times New Roman" w:hAnsi="Times New Roman" w:cs="Times New Roman" w:eastAsia="Times New Roman"/>
          <w:b/>
          <w:i w:val="false"/>
          <w:sz w:val="28"/>
          <w:highlight w:val="none"/>
        </w:rPr>
        <w:t xml:space="preserve">получения финальной дозы вакцины.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 Как правило, 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сертификат появляется не позднее одних суток после 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введения сведений 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в информационные ресурсы поликлиникой.</w:t>
      </w:r>
      <w:r>
        <w:rPr>
          <w:sz w:val="28"/>
          <w:highlight w:val="none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QR-код можно предъявлять как в электронном виде с экрана 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мобильного устройства, так и распечатанным на бумаге.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 </w:t>
      </w:r>
      <w:r>
        <w:rPr>
          <w:sz w:val="28"/>
        </w:rPr>
      </w:r>
      <w:r/>
    </w:p>
    <w:p>
      <w:pPr>
        <w:ind w:left="0" w:right="0" w:firstLine="0"/>
        <w:jc w:val="both"/>
        <w:spacing w:after="300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after="300" w:before="0"/>
        <w:shd w:val="clear" w:fill="FFFFFF" w:color="FFFFFF"/>
        <w:rPr>
          <w:rFonts w:ascii="Times New Roman" w:hAnsi="Times New Roman" w:cs="Times New Roman" w:eastAsia="Times New Roman"/>
          <w:b/>
          <w:sz w:val="28"/>
          <w:highlight w:val="none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О том как воспользоваться </w:t>
      </w:r>
      <w:r>
        <w:rPr>
          <w:rFonts w:ascii="Times New Roman" w:hAnsi="Times New Roman" w:cs="Times New Roman" w:eastAsia="Times New Roman"/>
          <w:i w:val="false"/>
          <w:sz w:val="28"/>
          <w:highlight w:val="none"/>
        </w:rPr>
        <w:t xml:space="preserve">QR-кодом и проверить его,</w:t>
      </w:r>
      <w:r>
        <w:rPr>
          <w:rFonts w:ascii="Times New Roman" w:hAnsi="Times New Roman" w:cs="Times New Roman" w:eastAsia="Times New Roman"/>
          <w:sz w:val="28"/>
        </w:rPr>
        <w:t xml:space="preserve"> установить мобильное приложение, содержащее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QR-код</w:t>
      </w:r>
      <w:r>
        <w:rPr>
          <w:rFonts w:ascii="Times New Roman" w:hAnsi="Times New Roman" w:cs="Times New Roman" w:eastAsia="Times New Roman"/>
          <w:sz w:val="28"/>
        </w:rPr>
        <w:t xml:space="preserve">  узнайте </w:t>
      </w:r>
      <w:r>
        <w:rPr>
          <w:rFonts w:ascii="Times New Roman" w:hAnsi="Times New Roman" w:cs="Times New Roman" w:eastAsia="Times New Roman"/>
          <w:b/>
          <w:sz w:val="28"/>
          <w:u w:val="single"/>
        </w:rPr>
      </w:r>
      <w:hyperlink r:id="rId14" w:tooltip="https://digital.alregn.ru/about/informatsiya.php" w:history="1">
        <w:r>
          <w:rPr>
            <w:rStyle w:val="605"/>
            <w:rFonts w:ascii="Times New Roman" w:hAnsi="Times New Roman" w:cs="Times New Roman" w:eastAsia="Times New Roman"/>
            <w:b/>
            <w:sz w:val="28"/>
          </w:rPr>
          <w:t xml:space="preserve">здесь</w:t>
        </w:r>
      </w:hyperlink>
      <w:r>
        <w:rPr>
          <w:rFonts w:ascii="Times New Roman" w:hAnsi="Times New Roman" w:cs="Times New Roman" w:eastAsia="Times New Roman"/>
          <w:b/>
          <w:sz w:val="28"/>
          <w:u w:val="single"/>
        </w:rPr>
        <w:t xml:space="preserve">.</w:t>
      </w:r>
      <w:r>
        <w:rPr>
          <w:rFonts w:ascii="Times New Roman" w:hAnsi="Times New Roman" w:cs="Times New Roman" w:eastAsia="Times New Roman"/>
          <w:b/>
          <w:sz w:val="28"/>
          <w:u w:val="single"/>
        </w:rPr>
      </w:r>
      <w:r/>
    </w:p>
    <w:p>
      <w:pPr>
        <w:ind w:left="0" w:right="0" w:firstLine="0"/>
        <w:jc w:val="both"/>
        <w:spacing w:after="300" w:before="0"/>
        <w:shd w:val="clear" w:fill="FFFFFF" w:color="FFFFFF"/>
        <w:rPr>
          <w:rFonts w:ascii="Times New Roman" w:hAnsi="Times New Roman" w:cs="Times New Roman" w:eastAsia="Times New Roman"/>
          <w:b/>
          <w:sz w:val="28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highlight w:val="none"/>
          <w:u w:val="none"/>
        </w:rPr>
        <w:t xml:space="preserve">Подробная информация также размещена в разделе Важно главной страницы официального сайта </w:t>
      </w:r>
      <w:hyperlink r:id="rId15" w:tooltip="https://digital.alregn.ru/" w:history="1">
        <w:r>
          <w:rPr>
            <w:rStyle w:val="605"/>
            <w:rFonts w:ascii="Times New Roman" w:hAnsi="Times New Roman" w:cs="Times New Roman" w:eastAsia="Times New Roman"/>
            <w:b/>
            <w:sz w:val="28"/>
            <w:highlight w:val="none"/>
          </w:rPr>
          <w:t xml:space="preserve">Минцифры Алтайского края.</w:t>
        </w:r>
        <w:r>
          <w:rPr>
            <w:rStyle w:val="605"/>
            <w:rFonts w:ascii="Times New Roman" w:hAnsi="Times New Roman" w:cs="Times New Roman" w:eastAsia="Times New Roman"/>
            <w:b/>
            <w:sz w:val="28"/>
            <w:highlight w:val="none"/>
          </w:rPr>
        </w:r>
      </w:hyperlink>
      <w:r>
        <w:rPr>
          <w:rFonts w:ascii="Times New Roman" w:hAnsi="Times New Roman" w:cs="Times New Roman" w:eastAsia="Times New Roman"/>
          <w:b/>
          <w:sz w:val="28"/>
          <w:highlight w:val="none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2"/>
    <w:next w:val="622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2"/>
    <w:next w:val="62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2"/>
    <w:next w:val="622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2"/>
    <w:next w:val="622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2"/>
    <w:next w:val="622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2"/>
    <w:next w:val="622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2"/>
    <w:next w:val="622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2"/>
    <w:next w:val="622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2"/>
    <w:next w:val="622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Title"/>
    <w:basedOn w:val="622"/>
    <w:next w:val="622"/>
    <w:link w:val="4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6">
    <w:name w:val="Title Char"/>
    <w:link w:val="465"/>
    <w:uiPriority w:val="10"/>
    <w:rPr>
      <w:sz w:val="48"/>
      <w:szCs w:val="48"/>
    </w:rPr>
  </w:style>
  <w:style w:type="paragraph" w:styleId="467">
    <w:name w:val="Subtitle"/>
    <w:basedOn w:val="622"/>
    <w:next w:val="622"/>
    <w:link w:val="468"/>
    <w:qFormat/>
    <w:uiPriority w:val="11"/>
    <w:rPr>
      <w:sz w:val="24"/>
      <w:szCs w:val="24"/>
    </w:rPr>
    <w:pPr>
      <w:spacing w:after="200" w:before="200"/>
    </w:pPr>
  </w:style>
  <w:style w:type="character" w:styleId="468">
    <w:name w:val="Subtitle Char"/>
    <w:link w:val="467"/>
    <w:uiPriority w:val="11"/>
    <w:rPr>
      <w:sz w:val="24"/>
      <w:szCs w:val="24"/>
    </w:rPr>
  </w:style>
  <w:style w:type="paragraph" w:styleId="469">
    <w:name w:val="Quote"/>
    <w:basedOn w:val="622"/>
    <w:next w:val="622"/>
    <w:link w:val="470"/>
    <w:qFormat/>
    <w:uiPriority w:val="29"/>
    <w:rPr>
      <w:i/>
    </w:rPr>
    <w:pPr>
      <w:ind w:left="720" w:right="720"/>
    </w:pPr>
  </w:style>
  <w:style w:type="character" w:styleId="470">
    <w:name w:val="Quote Char"/>
    <w:link w:val="469"/>
    <w:uiPriority w:val="29"/>
    <w:rPr>
      <w:i/>
    </w:rPr>
  </w:style>
  <w:style w:type="paragraph" w:styleId="471">
    <w:name w:val="Intense Quote"/>
    <w:basedOn w:val="622"/>
    <w:next w:val="622"/>
    <w:link w:val="47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2">
    <w:name w:val="Intense Quote Char"/>
    <w:link w:val="471"/>
    <w:uiPriority w:val="30"/>
    <w:rPr>
      <w:i/>
    </w:rPr>
  </w:style>
  <w:style w:type="paragraph" w:styleId="473">
    <w:name w:val="Header"/>
    <w:basedOn w:val="622"/>
    <w:link w:val="4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4">
    <w:name w:val="Header Char"/>
    <w:link w:val="473"/>
    <w:uiPriority w:val="99"/>
  </w:style>
  <w:style w:type="paragraph" w:styleId="475">
    <w:name w:val="Footer"/>
    <w:basedOn w:val="622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Footer Char"/>
    <w:link w:val="475"/>
    <w:uiPriority w:val="99"/>
  </w:style>
  <w:style w:type="paragraph" w:styleId="477">
    <w:name w:val="Caption"/>
    <w:basedOn w:val="622"/>
    <w:next w:val="6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>
    <w:name w:val="Caption Char"/>
    <w:basedOn w:val="477"/>
    <w:link w:val="475"/>
    <w:uiPriority w:val="99"/>
  </w:style>
  <w:style w:type="table" w:styleId="479">
    <w:name w:val="Table Grid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0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5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6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7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8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9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0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1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2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3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4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5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6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7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8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5">
    <w:name w:val="Hyperlink"/>
    <w:uiPriority w:val="99"/>
    <w:unhideWhenUsed/>
    <w:rPr>
      <w:color w:val="0000FF" w:themeColor="hyperlink"/>
      <w:u w:val="single"/>
    </w:rPr>
  </w:style>
  <w:style w:type="paragraph" w:styleId="606">
    <w:name w:val="footnote text"/>
    <w:basedOn w:val="622"/>
    <w:link w:val="607"/>
    <w:uiPriority w:val="99"/>
    <w:semiHidden/>
    <w:unhideWhenUsed/>
    <w:rPr>
      <w:sz w:val="18"/>
    </w:rPr>
    <w:pPr>
      <w:spacing w:lineRule="auto" w:line="240" w:after="40"/>
    </w:pPr>
  </w:style>
  <w:style w:type="character" w:styleId="607">
    <w:name w:val="Footnote Text Char"/>
    <w:link w:val="606"/>
    <w:uiPriority w:val="99"/>
    <w:rPr>
      <w:sz w:val="18"/>
    </w:rPr>
  </w:style>
  <w:style w:type="character" w:styleId="608">
    <w:name w:val="footnote reference"/>
    <w:uiPriority w:val="99"/>
    <w:unhideWhenUsed/>
    <w:rPr>
      <w:vertAlign w:val="superscript"/>
    </w:rPr>
  </w:style>
  <w:style w:type="paragraph" w:styleId="609">
    <w:name w:val="endnote text"/>
    <w:basedOn w:val="622"/>
    <w:link w:val="610"/>
    <w:uiPriority w:val="99"/>
    <w:semiHidden/>
    <w:unhideWhenUsed/>
    <w:rPr>
      <w:sz w:val="20"/>
    </w:rPr>
    <w:pPr>
      <w:spacing w:lineRule="auto" w:line="240" w:after="0"/>
    </w:pPr>
  </w:style>
  <w:style w:type="character" w:styleId="610">
    <w:name w:val="Endnote Text Char"/>
    <w:link w:val="609"/>
    <w:uiPriority w:val="99"/>
    <w:rPr>
      <w:sz w:val="20"/>
    </w:rPr>
  </w:style>
  <w:style w:type="character" w:styleId="611">
    <w:name w:val="endnote reference"/>
    <w:uiPriority w:val="99"/>
    <w:semiHidden/>
    <w:unhideWhenUsed/>
    <w:rPr>
      <w:vertAlign w:val="superscript"/>
    </w:rPr>
  </w:style>
  <w:style w:type="paragraph" w:styleId="612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613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614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615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616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617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618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619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620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621">
    <w:name w:val="TOC Heading"/>
    <w:uiPriority w:val="39"/>
    <w:unhideWhenUsed/>
  </w:style>
  <w:style w:type="paragraph" w:styleId="622" w:default="1">
    <w:name w:val="Normal"/>
    <w:qFormat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 Spacing"/>
    <w:basedOn w:val="622"/>
    <w:qFormat/>
    <w:uiPriority w:val="1"/>
    <w:pPr>
      <w:spacing w:lineRule="auto" w:line="240" w:after="0"/>
    </w:pPr>
  </w:style>
  <w:style w:type="paragraph" w:styleId="626">
    <w:name w:val="List Paragraph"/>
    <w:basedOn w:val="622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s://www.altairegion22.ru/gov/administration/gubernator-tomenko/" TargetMode="External"/><Relationship Id="rId10" Type="http://schemas.openxmlformats.org/officeDocument/2006/relationships/hyperlink" Target="https://altairegion22.ru/upload/iblock/5e1/-180-_ug_27.10.2021.pdf" TargetMode="External"/><Relationship Id="rId11" Type="http://schemas.openxmlformats.org/officeDocument/2006/relationships/hyperlink" Target="https://www.gosuslugi.ru/" TargetMode="External"/><Relationship Id="rId12" Type="http://schemas.openxmlformats.org/officeDocument/2006/relationships/hyperlink" Target="https://play.google.com/store/apps/details?id=ru.rostel&amp;hl=ru&amp;gl=US" TargetMode="External"/><Relationship Id="rId13" Type="http://schemas.openxmlformats.org/officeDocument/2006/relationships/hyperlink" Target="https://play.google.com/store/apps/details?id=com.minsvyaz.gosuslugi.stopcorona&amp;hl=ru&amp;gl=US" TargetMode="External"/><Relationship Id="rId14" Type="http://schemas.openxmlformats.org/officeDocument/2006/relationships/hyperlink" Target="https://digital.alregn.ru/about/informatsiya.php" TargetMode="External"/><Relationship Id="rId15" Type="http://schemas.openxmlformats.org/officeDocument/2006/relationships/hyperlink" Target="https://digital.alreg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2021-10-28T06:09:42Z</dcterms:modified>
</cp:coreProperties>
</file>